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47096" w14:textId="0DE7EDD2" w:rsidR="008D3E14" w:rsidRPr="00C04DC4" w:rsidRDefault="003E710D" w:rsidP="00FE517D">
      <w:pPr>
        <w:jc w:val="both"/>
        <w:rPr>
          <w:rFonts w:asciiTheme="minorHAnsi" w:hAnsiTheme="minorHAnsi" w:cs="Times New Roman"/>
          <w:b/>
        </w:rPr>
      </w:pPr>
      <w:r w:rsidRPr="00C04DC4">
        <w:rPr>
          <w:rFonts w:asciiTheme="minorHAnsi" w:hAnsiTheme="minorHAnsi" w:cs="Times New Roman"/>
          <w:b/>
        </w:rPr>
        <w:t>LibreHealth Educational Electronic Health Record Project</w:t>
      </w:r>
    </w:p>
    <w:p w14:paraId="05866D35" w14:textId="77777777" w:rsidR="005938DE" w:rsidRPr="00C04DC4" w:rsidRDefault="005938DE" w:rsidP="00FE517D">
      <w:pPr>
        <w:jc w:val="both"/>
        <w:rPr>
          <w:rFonts w:asciiTheme="minorHAnsi" w:hAnsiTheme="minorHAnsi" w:cs="Times New Roman"/>
          <w:b/>
        </w:rPr>
      </w:pPr>
    </w:p>
    <w:p w14:paraId="7CDFF6C4" w14:textId="77777777" w:rsidR="006D20A9" w:rsidRPr="00C04DC4" w:rsidRDefault="006D20A9" w:rsidP="00FE517D">
      <w:pPr>
        <w:jc w:val="both"/>
        <w:rPr>
          <w:rFonts w:asciiTheme="minorHAnsi" w:hAnsiTheme="minorHAnsi" w:cs="Times New Roman"/>
          <w:b/>
        </w:rPr>
      </w:pPr>
    </w:p>
    <w:p w14:paraId="7E4FECA9" w14:textId="77777777" w:rsidR="00301A13" w:rsidRPr="00C04DC4" w:rsidRDefault="00301A13" w:rsidP="00FE517D">
      <w:pPr>
        <w:jc w:val="both"/>
        <w:rPr>
          <w:rFonts w:asciiTheme="minorHAnsi" w:hAnsiTheme="minorHAnsi" w:cs="Times New Roman"/>
          <w:b/>
        </w:rPr>
      </w:pPr>
      <w:r w:rsidRPr="00C04DC4">
        <w:rPr>
          <w:rFonts w:asciiTheme="minorHAnsi" w:hAnsiTheme="minorHAnsi" w:cs="Times New Roman"/>
          <w:b/>
        </w:rPr>
        <w:t>Background</w:t>
      </w:r>
    </w:p>
    <w:p w14:paraId="69CBF77A" w14:textId="30AE4852" w:rsidR="005938DE" w:rsidRPr="00C04DC4" w:rsidRDefault="00613394" w:rsidP="00FE517D">
      <w:pPr>
        <w:jc w:val="both"/>
        <w:rPr>
          <w:rFonts w:asciiTheme="minorHAnsi" w:hAnsiTheme="minorHAnsi" w:cs="Times New Roman"/>
        </w:rPr>
      </w:pPr>
      <w:r w:rsidRPr="00C04DC4">
        <w:rPr>
          <w:rFonts w:asciiTheme="minorHAnsi" w:hAnsiTheme="minorHAnsi" w:cs="Times New Roman"/>
        </w:rPr>
        <w:t xml:space="preserve">By late 2016, 95% of US hospitals </w:t>
      </w:r>
      <w:r w:rsidR="004A77EE" w:rsidRPr="00C04DC4">
        <w:rPr>
          <w:rFonts w:asciiTheme="minorHAnsi" w:hAnsiTheme="minorHAnsi" w:cs="Times New Roman"/>
        </w:rPr>
        <w:t xml:space="preserve">and over 60% of office practices </w:t>
      </w:r>
      <w:r w:rsidRPr="00C04DC4">
        <w:rPr>
          <w:rFonts w:asciiTheme="minorHAnsi" w:hAnsiTheme="minorHAnsi" w:cs="Times New Roman"/>
        </w:rPr>
        <w:t xml:space="preserve">had demonstrated meaningful use of </w:t>
      </w:r>
      <w:r w:rsidR="004A77EE" w:rsidRPr="00C04DC4">
        <w:rPr>
          <w:rFonts w:asciiTheme="minorHAnsi" w:hAnsiTheme="minorHAnsi" w:cs="Times New Roman"/>
        </w:rPr>
        <w:t xml:space="preserve">certified </w:t>
      </w:r>
      <w:r w:rsidRPr="00C04DC4">
        <w:rPr>
          <w:rFonts w:asciiTheme="minorHAnsi" w:hAnsiTheme="minorHAnsi" w:cs="Times New Roman"/>
        </w:rPr>
        <w:t>electronic health records</w:t>
      </w:r>
      <w:r w:rsidR="004A77EE" w:rsidRPr="00C04DC4">
        <w:rPr>
          <w:rFonts w:asciiTheme="minorHAnsi" w:hAnsiTheme="minorHAnsi" w:cs="Times New Roman"/>
        </w:rPr>
        <w:t xml:space="preserve"> (EHRs).</w:t>
      </w:r>
      <w:r w:rsidRPr="00C04DC4">
        <w:rPr>
          <w:rFonts w:asciiTheme="minorHAnsi" w:hAnsiTheme="minorHAnsi" w:cs="Times New Roman"/>
        </w:rPr>
        <w:t xml:space="preserve"> </w:t>
      </w:r>
      <w:r w:rsidR="004A77EE" w:rsidRPr="00C04DC4">
        <w:rPr>
          <w:rFonts w:asciiTheme="minorHAnsi" w:hAnsiTheme="minorHAnsi" w:cs="Times New Roman"/>
          <w:vertAlign w:val="superscript"/>
        </w:rPr>
        <w:t>1</w:t>
      </w:r>
      <w:r w:rsidR="0064630A" w:rsidRPr="00C04DC4">
        <w:rPr>
          <w:rFonts w:asciiTheme="minorHAnsi" w:hAnsiTheme="minorHAnsi" w:cs="Times New Roman"/>
        </w:rPr>
        <w:t xml:space="preserve"> </w:t>
      </w:r>
      <w:r w:rsidR="00295DE6" w:rsidRPr="00C04DC4">
        <w:rPr>
          <w:rFonts w:asciiTheme="minorHAnsi" w:hAnsiTheme="minorHAnsi" w:cs="Times New Roman"/>
        </w:rPr>
        <w:t xml:space="preserve">Given the high adoption rates of EHRs, it would seem reasonable that </w:t>
      </w:r>
      <w:r w:rsidR="0064630A" w:rsidRPr="00C04DC4">
        <w:rPr>
          <w:rFonts w:asciiTheme="minorHAnsi" w:hAnsiTheme="minorHAnsi" w:cs="Times New Roman"/>
        </w:rPr>
        <w:t>clinical students should receive</w:t>
      </w:r>
      <w:r w:rsidR="009701A2" w:rsidRPr="00C04DC4">
        <w:rPr>
          <w:rFonts w:asciiTheme="minorHAnsi" w:hAnsiTheme="minorHAnsi" w:cs="Times New Roman"/>
        </w:rPr>
        <w:t xml:space="preserve"> training on</w:t>
      </w:r>
      <w:r w:rsidR="00BF759E" w:rsidRPr="00C04DC4">
        <w:rPr>
          <w:rFonts w:asciiTheme="minorHAnsi" w:hAnsiTheme="minorHAnsi" w:cs="Times New Roman"/>
        </w:rPr>
        <w:t xml:space="preserve"> academic</w:t>
      </w:r>
      <w:r w:rsidR="009701A2" w:rsidRPr="00C04DC4">
        <w:rPr>
          <w:rFonts w:asciiTheme="minorHAnsi" w:hAnsiTheme="minorHAnsi" w:cs="Times New Roman"/>
        </w:rPr>
        <w:t xml:space="preserve"> EHRs in medical, nursing and pharmacy schools. </w:t>
      </w:r>
      <w:r w:rsidR="0020670E" w:rsidRPr="00C04DC4">
        <w:rPr>
          <w:rFonts w:asciiTheme="minorHAnsi" w:hAnsiTheme="minorHAnsi" w:cs="Times New Roman"/>
        </w:rPr>
        <w:t>Jo</w:t>
      </w:r>
      <w:r w:rsidR="0027225F" w:rsidRPr="00C04DC4">
        <w:rPr>
          <w:rFonts w:asciiTheme="minorHAnsi" w:hAnsiTheme="minorHAnsi" w:cs="Times New Roman"/>
        </w:rPr>
        <w:t>h</w:t>
      </w:r>
      <w:r w:rsidR="0020670E" w:rsidRPr="00C04DC4">
        <w:rPr>
          <w:rFonts w:asciiTheme="minorHAnsi" w:hAnsiTheme="minorHAnsi" w:cs="Times New Roman"/>
        </w:rPr>
        <w:t xml:space="preserve">nson and </w:t>
      </w:r>
      <w:proofErr w:type="spellStart"/>
      <w:r w:rsidR="0020670E" w:rsidRPr="00C04DC4">
        <w:rPr>
          <w:rFonts w:asciiTheme="minorHAnsi" w:hAnsiTheme="minorHAnsi" w:cs="Times New Roman"/>
        </w:rPr>
        <w:t>Bushey</w:t>
      </w:r>
      <w:proofErr w:type="spellEnd"/>
      <w:r w:rsidR="0020670E" w:rsidRPr="00C04DC4">
        <w:rPr>
          <w:rFonts w:asciiTheme="minorHAnsi" w:hAnsiTheme="minorHAnsi" w:cs="Times New Roman"/>
        </w:rPr>
        <w:t xml:space="preserve"> defined the academic EHR as </w:t>
      </w:r>
      <w:r w:rsidR="00FB59FA" w:rsidRPr="00C04DC4">
        <w:rPr>
          <w:rFonts w:asciiTheme="minorHAnsi" w:hAnsiTheme="minorHAnsi" w:cs="Times New Roman"/>
        </w:rPr>
        <w:t>“</w:t>
      </w:r>
      <w:r w:rsidR="00BF759E" w:rsidRPr="00C04DC4">
        <w:rPr>
          <w:rFonts w:asciiTheme="minorHAnsi" w:hAnsiTheme="minorHAnsi" w:cs="Times New Roman"/>
        </w:rPr>
        <w:t>providing extensive hands-on experience using state of the art EHR and information systems to provide students with learning opportunities in patient assessment, clinical knowledge, decision-making and documentation competencies.”</w:t>
      </w:r>
      <w:r w:rsidR="00D0192E" w:rsidRPr="00C04DC4">
        <w:rPr>
          <w:rFonts w:asciiTheme="minorHAnsi" w:hAnsiTheme="minorHAnsi" w:cs="Times New Roman"/>
        </w:rPr>
        <w:t xml:space="preserve"> </w:t>
      </w:r>
      <w:r w:rsidR="00D0192E" w:rsidRPr="00C04DC4">
        <w:rPr>
          <w:rFonts w:asciiTheme="minorHAnsi" w:hAnsiTheme="minorHAnsi" w:cs="Times New Roman"/>
          <w:vertAlign w:val="superscript"/>
        </w:rPr>
        <w:t>2</w:t>
      </w:r>
      <w:r w:rsidR="00D0192E" w:rsidRPr="00C04DC4">
        <w:rPr>
          <w:rFonts w:asciiTheme="minorHAnsi" w:hAnsiTheme="minorHAnsi" w:cs="Times New Roman"/>
        </w:rPr>
        <w:t xml:space="preserve"> </w:t>
      </w:r>
    </w:p>
    <w:p w14:paraId="1A48B5E2" w14:textId="6EE6A771" w:rsidR="00A219AA" w:rsidRPr="00C04DC4" w:rsidRDefault="0009046E" w:rsidP="00FE517D">
      <w:pPr>
        <w:jc w:val="both"/>
        <w:rPr>
          <w:rFonts w:asciiTheme="minorHAnsi" w:hAnsiTheme="minorHAnsi" w:cs="Times New Roman"/>
          <w:color w:val="000000" w:themeColor="text1"/>
        </w:rPr>
      </w:pPr>
      <w:r w:rsidRPr="00C04DC4">
        <w:rPr>
          <w:rFonts w:asciiTheme="minorHAnsi" w:hAnsiTheme="minorHAnsi" w:cs="Times New Roman"/>
        </w:rPr>
        <w:t xml:space="preserve">According to a </w:t>
      </w:r>
      <w:r w:rsidR="00691E70" w:rsidRPr="00C04DC4">
        <w:rPr>
          <w:rFonts w:asciiTheme="minorHAnsi" w:hAnsiTheme="minorHAnsi" w:cs="Times New Roman"/>
        </w:rPr>
        <w:t xml:space="preserve">2009 </w:t>
      </w:r>
      <w:r w:rsidRPr="00C04DC4">
        <w:rPr>
          <w:rFonts w:asciiTheme="minorHAnsi" w:hAnsiTheme="minorHAnsi" w:cs="Times New Roman"/>
        </w:rPr>
        <w:t>survey o</w:t>
      </w:r>
      <w:r w:rsidR="00B70342" w:rsidRPr="00C04DC4">
        <w:rPr>
          <w:rFonts w:asciiTheme="minorHAnsi" w:hAnsiTheme="minorHAnsi" w:cs="Times New Roman"/>
        </w:rPr>
        <w:t>f clerkship directors</w:t>
      </w:r>
      <w:r w:rsidRPr="00C04DC4">
        <w:rPr>
          <w:rFonts w:asciiTheme="minorHAnsi" w:hAnsiTheme="minorHAnsi" w:cs="Times New Roman"/>
        </w:rPr>
        <w:t>, 64% of medical students had access to an ac</w:t>
      </w:r>
      <w:r w:rsidR="000D5A2B" w:rsidRPr="00C04DC4">
        <w:rPr>
          <w:rFonts w:asciiTheme="minorHAnsi" w:hAnsiTheme="minorHAnsi" w:cs="Times New Roman"/>
        </w:rPr>
        <w:t>ademic EHRs and 66% were permitted</w:t>
      </w:r>
      <w:r w:rsidRPr="00C04DC4">
        <w:rPr>
          <w:rFonts w:asciiTheme="minorHAnsi" w:hAnsiTheme="minorHAnsi" w:cs="Times New Roman"/>
        </w:rPr>
        <w:t xml:space="preserve"> to write notes. </w:t>
      </w:r>
      <w:r w:rsidR="00D0192E" w:rsidRPr="00C04DC4">
        <w:rPr>
          <w:rFonts w:asciiTheme="minorHAnsi" w:hAnsiTheme="minorHAnsi" w:cs="Times New Roman"/>
          <w:vertAlign w:val="superscript"/>
        </w:rPr>
        <w:t>3</w:t>
      </w:r>
      <w:r w:rsidR="00D0192E" w:rsidRPr="00C04DC4">
        <w:rPr>
          <w:rFonts w:asciiTheme="minorHAnsi" w:hAnsiTheme="minorHAnsi" w:cs="Times New Roman"/>
        </w:rPr>
        <w:t xml:space="preserve"> It is not known</w:t>
      </w:r>
      <w:r w:rsidR="00911AD7">
        <w:rPr>
          <w:rFonts w:asciiTheme="minorHAnsi" w:hAnsiTheme="minorHAnsi" w:cs="Times New Roman"/>
        </w:rPr>
        <w:t xml:space="preserve"> whether that percentage has increased </w:t>
      </w:r>
      <w:r w:rsidR="00ED551F">
        <w:rPr>
          <w:rFonts w:asciiTheme="minorHAnsi" w:hAnsiTheme="minorHAnsi" w:cs="Times New Roman"/>
        </w:rPr>
        <w:t xml:space="preserve">and </w:t>
      </w:r>
      <w:r w:rsidR="00ED551F" w:rsidRPr="00C04DC4">
        <w:rPr>
          <w:rFonts w:asciiTheme="minorHAnsi" w:hAnsiTheme="minorHAnsi" w:cs="Times New Roman"/>
        </w:rPr>
        <w:t>how</w:t>
      </w:r>
      <w:r w:rsidR="00D0192E" w:rsidRPr="00C04DC4">
        <w:rPr>
          <w:rFonts w:asciiTheme="minorHAnsi" w:hAnsiTheme="minorHAnsi" w:cs="Times New Roman"/>
        </w:rPr>
        <w:t xml:space="preserve"> many nurses and pharmacy students have EHR access</w:t>
      </w:r>
      <w:r w:rsidR="00C04DC4" w:rsidRPr="00C04DC4">
        <w:rPr>
          <w:rFonts w:asciiTheme="minorHAnsi" w:hAnsiTheme="minorHAnsi" w:cs="Times New Roman"/>
        </w:rPr>
        <w:t xml:space="preserve"> for training and education. </w:t>
      </w:r>
    </w:p>
    <w:p w14:paraId="318CD67A" w14:textId="1EAEAA8C" w:rsidR="009701A2" w:rsidRPr="00C04DC4" w:rsidRDefault="0019433C" w:rsidP="00FE517D">
      <w:pPr>
        <w:jc w:val="both"/>
        <w:rPr>
          <w:rFonts w:asciiTheme="minorHAnsi" w:hAnsiTheme="minorHAnsi" w:cs="Times New Roman"/>
        </w:rPr>
      </w:pPr>
      <w:r w:rsidRPr="00C04DC4">
        <w:rPr>
          <w:rFonts w:asciiTheme="minorHAnsi" w:hAnsiTheme="minorHAnsi" w:cs="Times New Roman"/>
        </w:rPr>
        <w:t xml:space="preserve">Hands-on </w:t>
      </w:r>
      <w:r w:rsidR="009701A2" w:rsidRPr="00C04DC4">
        <w:rPr>
          <w:rFonts w:asciiTheme="minorHAnsi" w:hAnsiTheme="minorHAnsi" w:cs="Times New Roman"/>
        </w:rPr>
        <w:t>EHR experience cou</w:t>
      </w:r>
      <w:r w:rsidR="00C04DC4" w:rsidRPr="00C04DC4">
        <w:rPr>
          <w:rFonts w:asciiTheme="minorHAnsi" w:hAnsiTheme="minorHAnsi" w:cs="Times New Roman"/>
        </w:rPr>
        <w:t xml:space="preserve">ld </w:t>
      </w:r>
      <w:r w:rsidR="00ED551F">
        <w:rPr>
          <w:rFonts w:asciiTheme="minorHAnsi" w:hAnsiTheme="minorHAnsi" w:cs="Times New Roman"/>
        </w:rPr>
        <w:t xml:space="preserve">also be </w:t>
      </w:r>
      <w:r w:rsidR="00C04DC4" w:rsidRPr="00C04DC4">
        <w:rPr>
          <w:rFonts w:asciiTheme="minorHAnsi" w:hAnsiTheme="minorHAnsi" w:cs="Times New Roman"/>
        </w:rPr>
        <w:t>beneficial for non-</w:t>
      </w:r>
      <w:r w:rsidR="009701A2" w:rsidRPr="00C04DC4">
        <w:rPr>
          <w:rFonts w:asciiTheme="minorHAnsi" w:hAnsiTheme="minorHAnsi" w:cs="Times New Roman"/>
        </w:rPr>
        <w:t>clinical students. For example, health information management</w:t>
      </w:r>
      <w:r w:rsidR="000D5A2B" w:rsidRPr="00C04DC4">
        <w:rPr>
          <w:rFonts w:asciiTheme="minorHAnsi" w:hAnsiTheme="minorHAnsi" w:cs="Times New Roman"/>
        </w:rPr>
        <w:t xml:space="preserve"> (HIM)</w:t>
      </w:r>
      <w:r w:rsidR="009701A2" w:rsidRPr="00C04DC4">
        <w:rPr>
          <w:rFonts w:asciiTheme="minorHAnsi" w:hAnsiTheme="minorHAnsi" w:cs="Times New Roman"/>
        </w:rPr>
        <w:t xml:space="preserve"> students</w:t>
      </w:r>
      <w:r w:rsidR="00040546" w:rsidRPr="00C04DC4">
        <w:rPr>
          <w:rFonts w:asciiTheme="minorHAnsi" w:hAnsiTheme="minorHAnsi" w:cs="Times New Roman"/>
        </w:rPr>
        <w:t xml:space="preserve"> could use EHRs for coding and billing experience. Health science students could use a populated EHR for pathophysiology exercises. Health informatics</w:t>
      </w:r>
      <w:r w:rsidR="000D5A2B" w:rsidRPr="00C04DC4">
        <w:rPr>
          <w:rFonts w:asciiTheme="minorHAnsi" w:hAnsiTheme="minorHAnsi" w:cs="Times New Roman"/>
        </w:rPr>
        <w:t xml:space="preserve"> (HI)</w:t>
      </w:r>
      <w:r w:rsidR="00040546" w:rsidRPr="00C04DC4">
        <w:rPr>
          <w:rFonts w:asciiTheme="minorHAnsi" w:hAnsiTheme="minorHAnsi" w:cs="Times New Roman"/>
        </w:rPr>
        <w:t xml:space="preserve"> and biomedical informatics </w:t>
      </w:r>
      <w:r w:rsidR="0009046E" w:rsidRPr="00C04DC4">
        <w:rPr>
          <w:rFonts w:asciiTheme="minorHAnsi" w:hAnsiTheme="minorHAnsi" w:cs="Times New Roman"/>
        </w:rPr>
        <w:t xml:space="preserve">graduate </w:t>
      </w:r>
      <w:r w:rsidR="00ED551F">
        <w:rPr>
          <w:rFonts w:asciiTheme="minorHAnsi" w:hAnsiTheme="minorHAnsi" w:cs="Times New Roman"/>
        </w:rPr>
        <w:t>students could benefit by</w:t>
      </w:r>
      <w:r w:rsidR="00040546" w:rsidRPr="00C04DC4">
        <w:rPr>
          <w:rFonts w:asciiTheme="minorHAnsi" w:hAnsiTheme="minorHAnsi" w:cs="Times New Roman"/>
        </w:rPr>
        <w:t xml:space="preserve"> evaluating </w:t>
      </w:r>
      <w:r w:rsidR="0009046E" w:rsidRPr="00C04DC4">
        <w:rPr>
          <w:rFonts w:asciiTheme="minorHAnsi" w:hAnsiTheme="minorHAnsi" w:cs="Times New Roman"/>
        </w:rPr>
        <w:t xml:space="preserve">order entry, </w:t>
      </w:r>
      <w:r w:rsidR="00040546" w:rsidRPr="00C04DC4">
        <w:rPr>
          <w:rFonts w:asciiTheme="minorHAnsi" w:hAnsiTheme="minorHAnsi" w:cs="Times New Roman"/>
        </w:rPr>
        <w:t>clinical decision support and EHR design and usability</w:t>
      </w:r>
      <w:r w:rsidR="009A0B2A" w:rsidRPr="00C04DC4">
        <w:rPr>
          <w:rFonts w:asciiTheme="minorHAnsi" w:hAnsiTheme="minorHAnsi" w:cs="Times New Roman"/>
        </w:rPr>
        <w:t>. G</w:t>
      </w:r>
      <w:r w:rsidR="00335AF3" w:rsidRPr="00C04DC4">
        <w:rPr>
          <w:rFonts w:asciiTheme="minorHAnsi" w:hAnsiTheme="minorHAnsi" w:cs="Times New Roman"/>
        </w:rPr>
        <w:t xml:space="preserve">raduate level </w:t>
      </w:r>
      <w:r w:rsidR="004224AC" w:rsidRPr="00C04DC4">
        <w:rPr>
          <w:rFonts w:asciiTheme="minorHAnsi" w:hAnsiTheme="minorHAnsi" w:cs="Times New Roman"/>
        </w:rPr>
        <w:t xml:space="preserve">students could </w:t>
      </w:r>
      <w:r w:rsidR="00ED551F">
        <w:rPr>
          <w:rFonts w:asciiTheme="minorHAnsi" w:hAnsiTheme="minorHAnsi" w:cs="Times New Roman"/>
        </w:rPr>
        <w:t xml:space="preserve">also </w:t>
      </w:r>
      <w:r w:rsidR="004224AC" w:rsidRPr="00C04DC4">
        <w:rPr>
          <w:rFonts w:asciiTheme="minorHAnsi" w:hAnsiTheme="minorHAnsi" w:cs="Times New Roman"/>
        </w:rPr>
        <w:t>query the backend database of an EHR for database management</w:t>
      </w:r>
      <w:r w:rsidR="00335AF3" w:rsidRPr="00C04DC4">
        <w:rPr>
          <w:rFonts w:asciiTheme="minorHAnsi" w:hAnsiTheme="minorHAnsi" w:cs="Times New Roman"/>
        </w:rPr>
        <w:t xml:space="preserve"> training</w:t>
      </w:r>
      <w:r w:rsidR="00ED551F">
        <w:rPr>
          <w:rFonts w:asciiTheme="minorHAnsi" w:hAnsiTheme="minorHAnsi" w:cs="Times New Roman"/>
        </w:rPr>
        <w:t>, analytics and research.</w:t>
      </w:r>
    </w:p>
    <w:p w14:paraId="761BD814" w14:textId="262A95A5" w:rsidR="00EA2E13" w:rsidRPr="00C04DC4" w:rsidRDefault="00A219AA" w:rsidP="00FE517D">
      <w:pPr>
        <w:jc w:val="both"/>
        <w:rPr>
          <w:rFonts w:asciiTheme="minorHAnsi" w:hAnsiTheme="minorHAnsi" w:cs="Times New Roman"/>
        </w:rPr>
      </w:pPr>
      <w:r w:rsidRPr="00C04DC4">
        <w:rPr>
          <w:rFonts w:asciiTheme="minorHAnsi" w:hAnsiTheme="minorHAnsi" w:cs="Times New Roman"/>
        </w:rPr>
        <w:t xml:space="preserve">Unfortunately, most of the non-clinical </w:t>
      </w:r>
      <w:r w:rsidR="004224AC" w:rsidRPr="00C04DC4">
        <w:rPr>
          <w:rFonts w:asciiTheme="minorHAnsi" w:hAnsiTheme="minorHAnsi" w:cs="Times New Roman"/>
        </w:rPr>
        <w:t>students</w:t>
      </w:r>
      <w:r w:rsidRPr="00C04DC4">
        <w:rPr>
          <w:rFonts w:asciiTheme="minorHAnsi" w:hAnsiTheme="minorHAnsi" w:cs="Times New Roman"/>
        </w:rPr>
        <w:t xml:space="preserve"> </w:t>
      </w:r>
      <w:r w:rsidR="00ED551F">
        <w:rPr>
          <w:rFonts w:asciiTheme="minorHAnsi" w:hAnsiTheme="minorHAnsi" w:cs="Times New Roman"/>
        </w:rPr>
        <w:t>do not have access</w:t>
      </w:r>
      <w:r w:rsidR="004224AC" w:rsidRPr="00C04DC4">
        <w:rPr>
          <w:rFonts w:asciiTheme="minorHAnsi" w:hAnsiTheme="minorHAnsi" w:cs="Times New Roman"/>
        </w:rPr>
        <w:t xml:space="preserve"> to </w:t>
      </w:r>
      <w:r w:rsidR="00C04DC4" w:rsidRPr="00C04DC4">
        <w:rPr>
          <w:rFonts w:asciiTheme="minorHAnsi" w:hAnsiTheme="minorHAnsi" w:cs="Times New Roman"/>
        </w:rPr>
        <w:t>EHRs</w:t>
      </w:r>
      <w:r w:rsidR="004224AC" w:rsidRPr="00C04DC4">
        <w:rPr>
          <w:rFonts w:asciiTheme="minorHAnsi" w:hAnsiTheme="minorHAnsi" w:cs="Times New Roman"/>
        </w:rPr>
        <w:t xml:space="preserve"> for education, training or research. </w:t>
      </w:r>
      <w:r w:rsidR="00EA2E13" w:rsidRPr="00C04DC4">
        <w:rPr>
          <w:rFonts w:asciiTheme="minorHAnsi" w:hAnsiTheme="minorHAnsi" w:cs="Times New Roman"/>
        </w:rPr>
        <w:t xml:space="preserve">A convenience </w:t>
      </w:r>
      <w:r w:rsidR="00C04DC4">
        <w:rPr>
          <w:rFonts w:asciiTheme="minorHAnsi" w:hAnsiTheme="minorHAnsi" w:cs="Times New Roman"/>
        </w:rPr>
        <w:t xml:space="preserve">sample </w:t>
      </w:r>
      <w:r w:rsidR="00EA2E13" w:rsidRPr="00C04DC4">
        <w:rPr>
          <w:rFonts w:asciiTheme="minorHAnsi" w:hAnsiTheme="minorHAnsi" w:cs="Times New Roman"/>
        </w:rPr>
        <w:t>survey of</w:t>
      </w:r>
      <w:r w:rsidRPr="00C04DC4">
        <w:rPr>
          <w:rFonts w:asciiTheme="minorHAnsi" w:hAnsiTheme="minorHAnsi" w:cs="Times New Roman"/>
        </w:rPr>
        <w:t xml:space="preserve"> 400 health informatics instructors</w:t>
      </w:r>
      <w:r w:rsidR="00EA2E13" w:rsidRPr="00C04DC4">
        <w:rPr>
          <w:rFonts w:asciiTheme="minorHAnsi" w:hAnsiTheme="minorHAnsi" w:cs="Times New Roman"/>
        </w:rPr>
        <w:t xml:space="preserve"> conducted in early 2017 (25% response rate) revealed that two third</w:t>
      </w:r>
      <w:r w:rsidR="00C04DC4">
        <w:rPr>
          <w:rFonts w:asciiTheme="minorHAnsi" w:hAnsiTheme="minorHAnsi" w:cs="Times New Roman"/>
        </w:rPr>
        <w:t xml:space="preserve">s taught without </w:t>
      </w:r>
      <w:r w:rsidR="00EA2E13" w:rsidRPr="00C04DC4">
        <w:rPr>
          <w:rFonts w:asciiTheme="minorHAnsi" w:hAnsiTheme="minorHAnsi" w:cs="Times New Roman"/>
        </w:rPr>
        <w:t>access</w:t>
      </w:r>
      <w:r w:rsidR="00C04DC4">
        <w:rPr>
          <w:rFonts w:asciiTheme="minorHAnsi" w:hAnsiTheme="minorHAnsi" w:cs="Times New Roman"/>
        </w:rPr>
        <w:t xml:space="preserve"> to</w:t>
      </w:r>
      <w:r w:rsidR="00ED551F">
        <w:rPr>
          <w:rFonts w:asciiTheme="minorHAnsi" w:hAnsiTheme="minorHAnsi" w:cs="Times New Roman"/>
        </w:rPr>
        <w:t xml:space="preserve"> an </w:t>
      </w:r>
      <w:r w:rsidR="00EA2E13" w:rsidRPr="00C04DC4">
        <w:rPr>
          <w:rFonts w:asciiTheme="minorHAnsi" w:hAnsiTheme="minorHAnsi" w:cs="Times New Roman"/>
        </w:rPr>
        <w:t xml:space="preserve">EHR. The majority taught general health informatics, but a substantial number also </w:t>
      </w:r>
      <w:r w:rsidRPr="00C04DC4">
        <w:rPr>
          <w:rFonts w:asciiTheme="minorHAnsi" w:hAnsiTheme="minorHAnsi" w:cs="Times New Roman"/>
        </w:rPr>
        <w:t>taught electronic health record courses</w:t>
      </w:r>
      <w:r w:rsidR="00EA2E13" w:rsidRPr="00C04DC4">
        <w:rPr>
          <w:rFonts w:asciiTheme="minorHAnsi" w:hAnsiTheme="minorHAnsi" w:cs="Times New Roman"/>
        </w:rPr>
        <w:t xml:space="preserve">. </w:t>
      </w:r>
      <w:r w:rsidR="00DC605C" w:rsidRPr="00C04DC4">
        <w:rPr>
          <w:rFonts w:asciiTheme="minorHAnsi" w:hAnsiTheme="minorHAnsi" w:cs="Times New Roman"/>
        </w:rPr>
        <w:t>Most of the respondents who had access to an EHR, used a commercial EHR. The remainder tended to use open source E</w:t>
      </w:r>
      <w:r w:rsidR="00ED551F">
        <w:rPr>
          <w:rFonts w:asciiTheme="minorHAnsi" w:hAnsiTheme="minorHAnsi" w:cs="Times New Roman"/>
        </w:rPr>
        <w:t>HRs</w:t>
      </w:r>
      <w:r w:rsidR="00DC605C" w:rsidRPr="00C04DC4">
        <w:rPr>
          <w:rFonts w:asciiTheme="minorHAnsi" w:hAnsiTheme="minorHAnsi" w:cs="Times New Roman"/>
        </w:rPr>
        <w:t xml:space="preserve">. </w:t>
      </w:r>
      <w:r w:rsidR="00104F93" w:rsidRPr="00C04DC4">
        <w:rPr>
          <w:rFonts w:asciiTheme="minorHAnsi" w:hAnsiTheme="minorHAnsi" w:cs="Times New Roman"/>
        </w:rPr>
        <w:t>Respondents desired an educational EHR with demographics, lab results, medications, coded diagnoses, encounters and images.</w:t>
      </w:r>
      <w:r w:rsidR="00335AF3" w:rsidRPr="00C04DC4">
        <w:rPr>
          <w:rFonts w:asciiTheme="minorHAnsi" w:hAnsiTheme="minorHAnsi" w:cs="Times New Roman"/>
        </w:rPr>
        <w:t xml:space="preserve"> An i</w:t>
      </w:r>
      <w:r w:rsidR="00104F93" w:rsidRPr="00C04DC4">
        <w:rPr>
          <w:rFonts w:asciiTheme="minorHAnsi" w:hAnsiTheme="minorHAnsi" w:cs="Times New Roman"/>
        </w:rPr>
        <w:t>nteresting</w:t>
      </w:r>
      <w:r w:rsidR="00335AF3" w:rsidRPr="00C04DC4">
        <w:rPr>
          <w:rFonts w:asciiTheme="minorHAnsi" w:hAnsiTheme="minorHAnsi" w:cs="Times New Roman"/>
        </w:rPr>
        <w:t xml:space="preserve"> finding was</w:t>
      </w:r>
      <w:r w:rsidR="00104F93" w:rsidRPr="00C04DC4">
        <w:rPr>
          <w:rFonts w:asciiTheme="minorHAnsi" w:hAnsiTheme="minorHAnsi" w:cs="Times New Roman"/>
        </w:rPr>
        <w:t xml:space="preserve"> that secondary use of EHR data was requested as follows: research (</w:t>
      </w:r>
      <w:r w:rsidR="00335AF3" w:rsidRPr="00C04DC4">
        <w:rPr>
          <w:rFonts w:asciiTheme="minorHAnsi" w:hAnsiTheme="minorHAnsi" w:cs="Times New Roman"/>
        </w:rPr>
        <w:t>79%), d</w:t>
      </w:r>
      <w:r w:rsidR="00641702" w:rsidRPr="00C04DC4">
        <w:rPr>
          <w:rFonts w:asciiTheme="minorHAnsi" w:hAnsiTheme="minorHAnsi" w:cs="Times New Roman"/>
        </w:rPr>
        <w:t>atabase management (64%), machine learning (36%), natural language processing (33%) and predictive analytics (68%).</w:t>
      </w:r>
      <w:r w:rsidR="00DF6F7F">
        <w:rPr>
          <w:rFonts w:asciiTheme="minorHAnsi" w:hAnsiTheme="minorHAnsi" w:cs="Times New Roman"/>
          <w:vertAlign w:val="superscript"/>
        </w:rPr>
        <w:t>4</w:t>
      </w:r>
      <w:r w:rsidR="00DF6F7F">
        <w:rPr>
          <w:rFonts w:asciiTheme="minorHAnsi" w:hAnsiTheme="minorHAnsi" w:cs="Times New Roman"/>
        </w:rPr>
        <w:t xml:space="preserve"> </w:t>
      </w:r>
    </w:p>
    <w:p w14:paraId="030CE46F" w14:textId="37718493" w:rsidR="004224AC" w:rsidRPr="00C04DC4" w:rsidRDefault="004224AC" w:rsidP="00FE517D">
      <w:pPr>
        <w:jc w:val="both"/>
        <w:rPr>
          <w:rFonts w:asciiTheme="minorHAnsi" w:hAnsiTheme="minorHAnsi" w:cs="Times New Roman"/>
        </w:rPr>
      </w:pPr>
      <w:r w:rsidRPr="00C04DC4">
        <w:rPr>
          <w:rFonts w:asciiTheme="minorHAnsi" w:hAnsiTheme="minorHAnsi" w:cs="Times New Roman"/>
        </w:rPr>
        <w:t xml:space="preserve">The most common short comings are the fact that the software is not pre-populated with synthetic or real patient data. </w:t>
      </w:r>
      <w:r w:rsidR="00617C56">
        <w:rPr>
          <w:rFonts w:asciiTheme="minorHAnsi" w:hAnsiTheme="minorHAnsi" w:cs="Times New Roman"/>
        </w:rPr>
        <w:t xml:space="preserve">Additionally, several </w:t>
      </w:r>
      <w:r w:rsidR="00335AF3" w:rsidRPr="00C04DC4">
        <w:rPr>
          <w:rFonts w:asciiTheme="minorHAnsi" w:hAnsiTheme="minorHAnsi" w:cs="Times New Roman"/>
        </w:rPr>
        <w:t xml:space="preserve">non-production EHRs used by faculty </w:t>
      </w:r>
      <w:r w:rsidR="00995AE4" w:rsidRPr="00C04DC4">
        <w:rPr>
          <w:rFonts w:asciiTheme="minorHAnsi" w:hAnsiTheme="minorHAnsi" w:cs="Times New Roman"/>
        </w:rPr>
        <w:t xml:space="preserve">are associated with a </w:t>
      </w:r>
      <w:r w:rsidR="00335AF3" w:rsidRPr="00C04DC4">
        <w:rPr>
          <w:rFonts w:asciiTheme="minorHAnsi" w:hAnsiTheme="minorHAnsi" w:cs="Times New Roman"/>
        </w:rPr>
        <w:t xml:space="preserve">moderate </w:t>
      </w:r>
      <w:r w:rsidR="00995AE4" w:rsidRPr="00C04DC4">
        <w:rPr>
          <w:rFonts w:asciiTheme="minorHAnsi" w:hAnsiTheme="minorHAnsi" w:cs="Times New Roman"/>
        </w:rPr>
        <w:t xml:space="preserve">cost to either instructors or </w:t>
      </w:r>
      <w:r w:rsidR="009B3C0D" w:rsidRPr="00C04DC4">
        <w:rPr>
          <w:rFonts w:asciiTheme="minorHAnsi" w:hAnsiTheme="minorHAnsi" w:cs="Times New Roman"/>
        </w:rPr>
        <w:t xml:space="preserve">students. </w:t>
      </w:r>
      <w:r w:rsidR="00A92595">
        <w:rPr>
          <w:rFonts w:asciiTheme="minorHAnsi" w:hAnsiTheme="minorHAnsi" w:cs="Times New Roman"/>
          <w:vertAlign w:val="superscript"/>
        </w:rPr>
        <w:t>5</w:t>
      </w:r>
      <w:r w:rsidR="00617C56">
        <w:rPr>
          <w:rFonts w:asciiTheme="minorHAnsi" w:hAnsiTheme="minorHAnsi" w:cs="Times New Roman"/>
          <w:vertAlign w:val="superscript"/>
        </w:rPr>
        <w:t>-6</w:t>
      </w:r>
    </w:p>
    <w:p w14:paraId="49351ED5" w14:textId="7429A3BD" w:rsidR="006967BB" w:rsidRPr="0029562D" w:rsidRDefault="006967BB" w:rsidP="00FE517D">
      <w:pPr>
        <w:jc w:val="both"/>
        <w:rPr>
          <w:rFonts w:asciiTheme="minorHAnsi" w:hAnsiTheme="minorHAnsi" w:cs="Times New Roman"/>
          <w:vertAlign w:val="superscript"/>
        </w:rPr>
      </w:pPr>
      <w:r w:rsidRPr="00C04DC4">
        <w:rPr>
          <w:rFonts w:asciiTheme="minorHAnsi" w:hAnsiTheme="minorHAnsi" w:cs="Times New Roman"/>
          <w:b/>
        </w:rPr>
        <w:t>Objectives</w:t>
      </w:r>
      <w:r w:rsidR="00A92595">
        <w:rPr>
          <w:rFonts w:asciiTheme="minorHAnsi" w:hAnsiTheme="minorHAnsi" w:cs="Times New Roman"/>
          <w:b/>
        </w:rPr>
        <w:t xml:space="preserve">: </w:t>
      </w:r>
      <w:r w:rsidR="0032071C" w:rsidRPr="0029562D">
        <w:rPr>
          <w:rFonts w:asciiTheme="minorHAnsi" w:hAnsiTheme="minorHAnsi" w:cs="Times New Roman"/>
        </w:rPr>
        <w:t>to</w:t>
      </w:r>
      <w:r w:rsidR="0032071C">
        <w:rPr>
          <w:rFonts w:asciiTheme="minorHAnsi" w:hAnsiTheme="minorHAnsi" w:cs="Times New Roman"/>
          <w:b/>
        </w:rPr>
        <w:t xml:space="preserve"> </w:t>
      </w:r>
      <w:r w:rsidR="00A92595">
        <w:rPr>
          <w:rFonts w:asciiTheme="minorHAnsi" w:hAnsiTheme="minorHAnsi" w:cs="Times New Roman"/>
        </w:rPr>
        <w:t xml:space="preserve">develop an open-source EHR for education of clinical and non-clinical students. </w:t>
      </w:r>
      <w:r w:rsidR="0029562D">
        <w:rPr>
          <w:rFonts w:asciiTheme="minorHAnsi" w:hAnsiTheme="minorHAnsi" w:cs="Times New Roman"/>
        </w:rPr>
        <w:t xml:space="preserve">LibreHealth EHR was </w:t>
      </w:r>
      <w:r w:rsidR="00271803">
        <w:rPr>
          <w:rFonts w:asciiTheme="minorHAnsi" w:hAnsiTheme="minorHAnsi" w:cs="Times New Roman"/>
        </w:rPr>
        <w:t xml:space="preserve">created by prior developers of </w:t>
      </w:r>
      <w:proofErr w:type="spellStart"/>
      <w:r w:rsidR="00271803">
        <w:rPr>
          <w:rFonts w:asciiTheme="minorHAnsi" w:hAnsiTheme="minorHAnsi" w:cs="Times New Roman"/>
        </w:rPr>
        <w:t>OpenEMR</w:t>
      </w:r>
      <w:proofErr w:type="spellEnd"/>
      <w:r w:rsidR="00271803">
        <w:rPr>
          <w:rFonts w:asciiTheme="minorHAnsi" w:hAnsiTheme="minorHAnsi" w:cs="Times New Roman"/>
        </w:rPr>
        <w:t xml:space="preserve"> and OpenMRS</w:t>
      </w:r>
      <w:r w:rsidR="0029562D">
        <w:rPr>
          <w:rFonts w:asciiTheme="minorHAnsi" w:hAnsiTheme="minorHAnsi" w:cs="Times New Roman"/>
        </w:rPr>
        <w:t xml:space="preserve"> in 2016 and adopted for this initiative</w:t>
      </w:r>
      <w:r w:rsidR="00271803">
        <w:rPr>
          <w:rFonts w:asciiTheme="minorHAnsi" w:hAnsiTheme="minorHAnsi" w:cs="Times New Roman"/>
        </w:rPr>
        <w:t xml:space="preserve">. </w:t>
      </w:r>
      <w:r w:rsidR="0029562D">
        <w:rPr>
          <w:rFonts w:asciiTheme="minorHAnsi" w:hAnsiTheme="minorHAnsi" w:cs="Times New Roman"/>
        </w:rPr>
        <w:t>LibreHealth also</w:t>
      </w:r>
      <w:r w:rsidR="006A13A7">
        <w:rPr>
          <w:rFonts w:asciiTheme="minorHAnsi" w:hAnsiTheme="minorHAnsi" w:cs="Times New Roman"/>
        </w:rPr>
        <w:t xml:space="preserve"> includes a radiology platform and an open API. </w:t>
      </w:r>
      <w:r w:rsidR="00617C56">
        <w:rPr>
          <w:rFonts w:asciiTheme="minorHAnsi" w:hAnsiTheme="minorHAnsi" w:cs="Times New Roman"/>
          <w:vertAlign w:val="superscript"/>
        </w:rPr>
        <w:t>7</w:t>
      </w:r>
    </w:p>
    <w:p w14:paraId="399AED75" w14:textId="6441D34A" w:rsidR="005A7910" w:rsidRPr="00271803" w:rsidRDefault="006967BB" w:rsidP="005A7910">
      <w:pPr>
        <w:jc w:val="both"/>
        <w:rPr>
          <w:rFonts w:asciiTheme="minorHAnsi" w:hAnsiTheme="minorHAnsi" w:cs="Times New Roman"/>
        </w:rPr>
      </w:pPr>
      <w:r w:rsidRPr="00C04DC4">
        <w:rPr>
          <w:rFonts w:asciiTheme="minorHAnsi" w:hAnsiTheme="minorHAnsi" w:cs="Times New Roman"/>
          <w:b/>
        </w:rPr>
        <w:t>Methods</w:t>
      </w:r>
      <w:r w:rsidR="00271803">
        <w:rPr>
          <w:rFonts w:asciiTheme="minorHAnsi" w:hAnsiTheme="minorHAnsi" w:cs="Times New Roman"/>
          <w:b/>
        </w:rPr>
        <w:t xml:space="preserve">: </w:t>
      </w:r>
      <w:r w:rsidR="00271803">
        <w:rPr>
          <w:rFonts w:asciiTheme="minorHAnsi" w:hAnsiTheme="minorHAnsi" w:cs="Times New Roman"/>
        </w:rPr>
        <w:t>Over 9600 de-identified patients from the 2011-2012 National Health and Nutrition Evaluation Survey (NHANES)</w:t>
      </w:r>
      <w:r w:rsidR="00806B1D">
        <w:rPr>
          <w:rFonts w:asciiTheme="minorHAnsi" w:hAnsiTheme="minorHAnsi" w:cs="Times New Roman"/>
          <w:vertAlign w:val="superscript"/>
        </w:rPr>
        <w:t>8</w:t>
      </w:r>
      <w:r w:rsidR="00271803">
        <w:rPr>
          <w:rFonts w:asciiTheme="minorHAnsi" w:hAnsiTheme="minorHAnsi" w:cs="Times New Roman"/>
        </w:rPr>
        <w:t xml:space="preserve"> were uploaded into the EHR and included demographics, diagnoses, labs and medications. Instructional guides and video tutorials were created. </w:t>
      </w:r>
      <w:r w:rsidR="00271803">
        <w:rPr>
          <w:rFonts w:asciiTheme="minorHAnsi" w:hAnsiTheme="minorHAnsi" w:cs="Times New Roman"/>
        </w:rPr>
        <w:t xml:space="preserve">The educational EHR was beta-tested by four universities for the fall 2017 semester. </w:t>
      </w:r>
      <w:r w:rsidR="0080543D">
        <w:rPr>
          <w:rFonts w:asciiTheme="minorHAnsi" w:hAnsiTheme="minorHAnsi" w:cs="Times New Roman"/>
        </w:rPr>
        <w:t xml:space="preserve">Programs selected include </w:t>
      </w:r>
      <w:r w:rsidR="00C85085">
        <w:rPr>
          <w:rFonts w:asciiTheme="minorHAnsi" w:hAnsiTheme="minorHAnsi" w:cs="Times New Roman"/>
        </w:rPr>
        <w:t>Master of Science in Health I</w:t>
      </w:r>
      <w:r w:rsidR="0080543D">
        <w:rPr>
          <w:rFonts w:asciiTheme="minorHAnsi" w:hAnsiTheme="minorHAnsi" w:cs="Times New Roman"/>
        </w:rPr>
        <w:t>nformatics</w:t>
      </w:r>
      <w:r w:rsidR="00FA27DE">
        <w:rPr>
          <w:rFonts w:asciiTheme="minorHAnsi" w:hAnsiTheme="minorHAnsi" w:cs="Times New Roman"/>
        </w:rPr>
        <w:t xml:space="preserve">, </w:t>
      </w:r>
      <w:r w:rsidR="00C83523">
        <w:rPr>
          <w:rFonts w:asciiTheme="minorHAnsi" w:hAnsiTheme="minorHAnsi" w:cs="Times New Roman"/>
        </w:rPr>
        <w:t>Bache</w:t>
      </w:r>
      <w:r w:rsidR="00E57FC7">
        <w:rPr>
          <w:rFonts w:asciiTheme="minorHAnsi" w:hAnsiTheme="minorHAnsi" w:cs="Times New Roman"/>
        </w:rPr>
        <w:t>lor of Science</w:t>
      </w:r>
      <w:r w:rsidR="00FA27DE">
        <w:rPr>
          <w:rFonts w:asciiTheme="minorHAnsi" w:hAnsiTheme="minorHAnsi" w:cs="Times New Roman"/>
        </w:rPr>
        <w:t xml:space="preserve"> in Health Informatics, </w:t>
      </w:r>
      <w:r w:rsidR="0096228F">
        <w:rPr>
          <w:rFonts w:asciiTheme="minorHAnsi" w:hAnsiTheme="minorHAnsi" w:cs="Times New Roman"/>
        </w:rPr>
        <w:t>Associate in Science in Health Information Technology</w:t>
      </w:r>
      <w:r w:rsidR="00C85085">
        <w:rPr>
          <w:rFonts w:asciiTheme="minorHAnsi" w:hAnsiTheme="minorHAnsi" w:cs="Times New Roman"/>
        </w:rPr>
        <w:t xml:space="preserve"> and</w:t>
      </w:r>
      <w:r w:rsidR="00465FCA">
        <w:rPr>
          <w:rFonts w:asciiTheme="minorHAnsi" w:hAnsiTheme="minorHAnsi" w:cs="Times New Roman"/>
        </w:rPr>
        <w:t xml:space="preserve"> undergraduate</w:t>
      </w:r>
      <w:r w:rsidR="00C85085">
        <w:rPr>
          <w:rFonts w:asciiTheme="minorHAnsi" w:hAnsiTheme="minorHAnsi" w:cs="Times New Roman"/>
        </w:rPr>
        <w:t xml:space="preserve"> </w:t>
      </w:r>
      <w:r w:rsidR="00FA27DE">
        <w:rPr>
          <w:rFonts w:asciiTheme="minorHAnsi" w:hAnsiTheme="minorHAnsi" w:cs="Times New Roman"/>
        </w:rPr>
        <w:t>Public Health I</w:t>
      </w:r>
      <w:r w:rsidR="00C85085">
        <w:rPr>
          <w:rFonts w:asciiTheme="minorHAnsi" w:hAnsiTheme="minorHAnsi" w:cs="Times New Roman"/>
        </w:rPr>
        <w:t xml:space="preserve">nformatics. </w:t>
      </w:r>
      <w:r w:rsidR="0080543D">
        <w:rPr>
          <w:rFonts w:asciiTheme="minorHAnsi" w:hAnsiTheme="minorHAnsi" w:cs="Times New Roman"/>
        </w:rPr>
        <w:t xml:space="preserve"> </w:t>
      </w:r>
      <w:r w:rsidR="005A7910">
        <w:rPr>
          <w:rFonts w:asciiTheme="minorHAnsi" w:hAnsiTheme="minorHAnsi" w:cs="Times New Roman"/>
        </w:rPr>
        <w:t>A</w:t>
      </w:r>
      <w:r w:rsidR="005A7910">
        <w:rPr>
          <w:rFonts w:asciiTheme="minorHAnsi" w:hAnsiTheme="minorHAnsi" w:cs="Times New Roman"/>
        </w:rPr>
        <w:t xml:space="preserve"> post implementation survey was sent to the four schools (instructors and stude</w:t>
      </w:r>
      <w:r w:rsidR="00E57FC7">
        <w:rPr>
          <w:rFonts w:asciiTheme="minorHAnsi" w:hAnsiTheme="minorHAnsi" w:cs="Times New Roman"/>
        </w:rPr>
        <w:t>nts) post-usage.</w:t>
      </w:r>
      <w:r w:rsidR="005A7910">
        <w:rPr>
          <w:rFonts w:asciiTheme="minorHAnsi" w:hAnsiTheme="minorHAnsi" w:cs="Times New Roman"/>
        </w:rPr>
        <w:t xml:space="preserve"> </w:t>
      </w:r>
    </w:p>
    <w:p w14:paraId="31F8C5F5" w14:textId="189D53D1" w:rsidR="006967BB" w:rsidRPr="00271803" w:rsidRDefault="006967BB" w:rsidP="00FE517D">
      <w:pPr>
        <w:jc w:val="both"/>
        <w:rPr>
          <w:rFonts w:asciiTheme="minorHAnsi" w:hAnsiTheme="minorHAnsi" w:cs="Times New Roman"/>
        </w:rPr>
      </w:pPr>
    </w:p>
    <w:p w14:paraId="38AB4922" w14:textId="5E1A50E0" w:rsidR="006967BB" w:rsidRPr="00EB24E1" w:rsidRDefault="006967BB" w:rsidP="00FE517D">
      <w:pPr>
        <w:jc w:val="both"/>
        <w:rPr>
          <w:rFonts w:asciiTheme="minorHAnsi" w:hAnsiTheme="minorHAnsi" w:cs="Times New Roman"/>
        </w:rPr>
      </w:pPr>
      <w:r w:rsidRPr="00C04DC4">
        <w:rPr>
          <w:rFonts w:asciiTheme="minorHAnsi" w:hAnsiTheme="minorHAnsi" w:cs="Times New Roman"/>
          <w:b/>
        </w:rPr>
        <w:lastRenderedPageBreak/>
        <w:t>Results</w:t>
      </w:r>
      <w:r w:rsidR="00271803">
        <w:rPr>
          <w:rFonts w:asciiTheme="minorHAnsi" w:hAnsiTheme="minorHAnsi" w:cs="Times New Roman"/>
          <w:b/>
        </w:rPr>
        <w:t xml:space="preserve">: </w:t>
      </w:r>
      <w:r w:rsidR="00EB24E1">
        <w:rPr>
          <w:rFonts w:asciiTheme="minorHAnsi" w:hAnsiTheme="minorHAnsi" w:cs="Times New Roman"/>
        </w:rPr>
        <w:t xml:space="preserve">the survey was conducted with Qualtrics survey software. Response rate by students was x.  </w:t>
      </w:r>
    </w:p>
    <w:p w14:paraId="04838B88" w14:textId="32FFCAAE" w:rsidR="00ED3800" w:rsidRPr="001C0334" w:rsidRDefault="00ED3800" w:rsidP="00FE517D">
      <w:pPr>
        <w:jc w:val="both"/>
        <w:rPr>
          <w:rFonts w:asciiTheme="minorHAnsi" w:hAnsiTheme="minorHAnsi" w:cs="Times New Roman"/>
        </w:rPr>
      </w:pPr>
      <w:r w:rsidRPr="00C04DC4">
        <w:rPr>
          <w:rFonts w:asciiTheme="minorHAnsi" w:hAnsiTheme="minorHAnsi" w:cs="Times New Roman"/>
          <w:b/>
        </w:rPr>
        <w:t>Discussion</w:t>
      </w:r>
      <w:r w:rsidR="004528DD">
        <w:rPr>
          <w:rFonts w:asciiTheme="minorHAnsi" w:hAnsiTheme="minorHAnsi" w:cs="Times New Roman"/>
          <w:b/>
        </w:rPr>
        <w:t xml:space="preserve">: </w:t>
      </w:r>
      <w:r w:rsidR="001C0334">
        <w:rPr>
          <w:rFonts w:asciiTheme="minorHAnsi" w:hAnsiTheme="minorHAnsi" w:cs="Times New Roman"/>
        </w:rPr>
        <w:t>an affordable</w:t>
      </w:r>
      <w:r w:rsidR="00E04A0C">
        <w:rPr>
          <w:rFonts w:asciiTheme="minorHAnsi" w:hAnsiTheme="minorHAnsi" w:cs="Times New Roman"/>
        </w:rPr>
        <w:t xml:space="preserve"> EHR is a valuable tool for EHR training, health sciences education and research. Being open-source</w:t>
      </w:r>
      <w:r w:rsidR="00391AE6">
        <w:rPr>
          <w:rFonts w:asciiTheme="minorHAnsi" w:hAnsiTheme="minorHAnsi" w:cs="Times New Roman"/>
        </w:rPr>
        <w:t xml:space="preserve"> software</w:t>
      </w:r>
      <w:r w:rsidR="00E04A0C">
        <w:rPr>
          <w:rFonts w:asciiTheme="minorHAnsi" w:hAnsiTheme="minorHAnsi" w:cs="Times New Roman"/>
        </w:rPr>
        <w:t xml:space="preserve"> has the advantages of being low-cost or no-cost and customizable, unlike commercial EHRs. </w:t>
      </w:r>
    </w:p>
    <w:p w14:paraId="1DF1B6C8" w14:textId="58106E1D" w:rsidR="006967BB" w:rsidRDefault="006967BB" w:rsidP="00FE517D">
      <w:pPr>
        <w:jc w:val="both"/>
        <w:rPr>
          <w:rFonts w:asciiTheme="minorHAnsi" w:hAnsiTheme="minorHAnsi" w:cs="Times New Roman"/>
        </w:rPr>
      </w:pPr>
      <w:r w:rsidRPr="00C04DC4">
        <w:rPr>
          <w:rFonts w:asciiTheme="minorHAnsi" w:hAnsiTheme="minorHAnsi" w:cs="Times New Roman"/>
          <w:b/>
        </w:rPr>
        <w:t>Conclusion</w:t>
      </w:r>
      <w:r w:rsidR="004528DD">
        <w:rPr>
          <w:rFonts w:asciiTheme="minorHAnsi" w:hAnsiTheme="minorHAnsi" w:cs="Times New Roman"/>
          <w:b/>
        </w:rPr>
        <w:t xml:space="preserve">: </w:t>
      </w:r>
      <w:r w:rsidR="004528DD">
        <w:rPr>
          <w:rFonts w:asciiTheme="minorHAnsi" w:hAnsiTheme="minorHAnsi" w:cs="Times New Roman"/>
        </w:rPr>
        <w:t xml:space="preserve">There is interest in using an educational EHR for more than just training. It has the potential to teach coding, health sciences education and basic descriptive statistics and analytics. With a </w:t>
      </w:r>
      <w:r w:rsidR="00DB7233">
        <w:rPr>
          <w:rFonts w:asciiTheme="minorHAnsi" w:hAnsiTheme="minorHAnsi" w:cs="Times New Roman"/>
        </w:rPr>
        <w:t xml:space="preserve">robust patient base, research can also be conducted. </w:t>
      </w:r>
    </w:p>
    <w:p w14:paraId="781011B1" w14:textId="59020FC3" w:rsidR="00E751B3" w:rsidRPr="004528DD" w:rsidRDefault="00E751B3" w:rsidP="00FE517D">
      <w:pPr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Future goals include using the open API to devel</w:t>
      </w:r>
      <w:r w:rsidR="006A13A7">
        <w:rPr>
          <w:rFonts w:asciiTheme="minorHAnsi" w:hAnsiTheme="minorHAnsi" w:cs="Times New Roman"/>
        </w:rPr>
        <w:t xml:space="preserve">op SMART apps using FHIR and adding encounter notes for </w:t>
      </w:r>
      <w:r w:rsidR="00391AE6">
        <w:rPr>
          <w:rFonts w:asciiTheme="minorHAnsi" w:hAnsiTheme="minorHAnsi" w:cs="Times New Roman"/>
        </w:rPr>
        <w:t>natural language (</w:t>
      </w:r>
      <w:r w:rsidR="006A13A7">
        <w:rPr>
          <w:rFonts w:asciiTheme="minorHAnsi" w:hAnsiTheme="minorHAnsi" w:cs="Times New Roman"/>
        </w:rPr>
        <w:t>NLP</w:t>
      </w:r>
      <w:r w:rsidR="00391AE6">
        <w:rPr>
          <w:rFonts w:asciiTheme="minorHAnsi" w:hAnsiTheme="minorHAnsi" w:cs="Times New Roman"/>
        </w:rPr>
        <w:t>)</w:t>
      </w:r>
      <w:r w:rsidR="006A13A7">
        <w:rPr>
          <w:rFonts w:asciiTheme="minorHAnsi" w:hAnsiTheme="minorHAnsi" w:cs="Times New Roman"/>
        </w:rPr>
        <w:t xml:space="preserve"> exercises. </w:t>
      </w:r>
    </w:p>
    <w:p w14:paraId="627AE6FB" w14:textId="77777777" w:rsidR="00354A02" w:rsidRPr="00C04DC4" w:rsidRDefault="00354A02" w:rsidP="00FE517D">
      <w:pPr>
        <w:jc w:val="both"/>
        <w:rPr>
          <w:rFonts w:asciiTheme="minorHAnsi" w:hAnsiTheme="minorHAnsi" w:cs="Times New Roman"/>
        </w:rPr>
      </w:pPr>
    </w:p>
    <w:p w14:paraId="1FFC1655" w14:textId="616D7954" w:rsidR="00354A02" w:rsidRPr="00C04DC4" w:rsidRDefault="00354A02" w:rsidP="00FE517D">
      <w:pPr>
        <w:jc w:val="both"/>
        <w:rPr>
          <w:rFonts w:asciiTheme="minorHAnsi" w:hAnsiTheme="minorHAnsi" w:cs="Times New Roman"/>
        </w:rPr>
      </w:pPr>
      <w:r w:rsidRPr="00C04DC4">
        <w:rPr>
          <w:rFonts w:asciiTheme="minorHAnsi" w:hAnsiTheme="minorHAnsi" w:cs="Times New Roman"/>
        </w:rPr>
        <w:t>References:</w:t>
      </w:r>
    </w:p>
    <w:p w14:paraId="02EE5E72" w14:textId="001FB23C" w:rsidR="00906EF2" w:rsidRPr="00C04DC4" w:rsidRDefault="004A77EE" w:rsidP="004A77EE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Times New Roman"/>
        </w:rPr>
      </w:pPr>
      <w:r w:rsidRPr="00C04DC4">
        <w:rPr>
          <w:rFonts w:asciiTheme="minorHAnsi" w:hAnsiTheme="minorHAnsi" w:cs="Times New Roman"/>
        </w:rPr>
        <w:t>ONC</w:t>
      </w:r>
      <w:r w:rsidR="00E23E45" w:rsidRPr="00C04DC4">
        <w:rPr>
          <w:rFonts w:asciiTheme="minorHAnsi" w:hAnsiTheme="minorHAnsi" w:cs="Times New Roman"/>
        </w:rPr>
        <w:t xml:space="preserve"> Health IT Dashboard. August 3, 2017 Quick Stats. </w:t>
      </w:r>
      <w:hyperlink r:id="rId5" w:history="1">
        <w:r w:rsidR="00E23E45" w:rsidRPr="00C04DC4">
          <w:rPr>
            <w:rStyle w:val="Hyperlink"/>
            <w:rFonts w:asciiTheme="minorHAnsi" w:hAnsiTheme="minorHAnsi" w:cs="Times New Roman"/>
          </w:rPr>
          <w:t>https://dashboard.healthit.gov</w:t>
        </w:r>
      </w:hyperlink>
      <w:r w:rsidR="00E23E45" w:rsidRPr="00C04DC4">
        <w:rPr>
          <w:rFonts w:asciiTheme="minorHAnsi" w:hAnsiTheme="minorHAnsi" w:cs="Times New Roman"/>
        </w:rPr>
        <w:t xml:space="preserve"> (Accessed October 25, 2017)</w:t>
      </w:r>
    </w:p>
    <w:p w14:paraId="4D58CA92" w14:textId="5F40C031" w:rsidR="00BF759E" w:rsidRPr="00C04DC4" w:rsidRDefault="00BF759E" w:rsidP="00FE517D">
      <w:pPr>
        <w:pStyle w:val="NormalWeb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C04DC4">
        <w:rPr>
          <w:rFonts w:asciiTheme="minorHAnsi" w:hAnsiTheme="minorHAnsi"/>
          <w:sz w:val="22"/>
          <w:szCs w:val="22"/>
        </w:rPr>
        <w:t xml:space="preserve">Johnson DM, </w:t>
      </w:r>
      <w:proofErr w:type="spellStart"/>
      <w:r w:rsidRPr="00C04DC4">
        <w:rPr>
          <w:rFonts w:asciiTheme="minorHAnsi" w:hAnsiTheme="minorHAnsi"/>
          <w:sz w:val="22"/>
          <w:szCs w:val="22"/>
        </w:rPr>
        <w:t>Bushey</w:t>
      </w:r>
      <w:proofErr w:type="spellEnd"/>
      <w:r w:rsidRPr="00C04DC4">
        <w:rPr>
          <w:rFonts w:asciiTheme="minorHAnsi" w:hAnsiTheme="minorHAnsi"/>
          <w:sz w:val="22"/>
          <w:szCs w:val="22"/>
        </w:rPr>
        <w:t xml:space="preserve"> TI. Integrating the Academic Electronic Health Record </w:t>
      </w:r>
      <w:proofErr w:type="gramStart"/>
      <w:r w:rsidRPr="00C04DC4">
        <w:rPr>
          <w:rFonts w:asciiTheme="minorHAnsi" w:hAnsiTheme="minorHAnsi"/>
          <w:sz w:val="22"/>
          <w:szCs w:val="22"/>
        </w:rPr>
        <w:t>Into</w:t>
      </w:r>
      <w:proofErr w:type="gramEnd"/>
      <w:r w:rsidRPr="00C04DC4">
        <w:rPr>
          <w:rFonts w:asciiTheme="minorHAnsi" w:hAnsiTheme="minorHAnsi"/>
          <w:sz w:val="22"/>
          <w:szCs w:val="22"/>
        </w:rPr>
        <w:t xml:space="preserve"> Nursing Curriculum. CIN </w:t>
      </w:r>
      <w:proofErr w:type="spellStart"/>
      <w:r w:rsidRPr="00C04DC4">
        <w:rPr>
          <w:rFonts w:asciiTheme="minorHAnsi" w:hAnsiTheme="minorHAnsi"/>
          <w:sz w:val="22"/>
          <w:szCs w:val="22"/>
        </w:rPr>
        <w:t>Comput</w:t>
      </w:r>
      <w:proofErr w:type="spellEnd"/>
      <w:r w:rsidRPr="00C04DC4">
        <w:rPr>
          <w:rFonts w:asciiTheme="minorHAnsi" w:hAnsiTheme="minorHAnsi"/>
          <w:sz w:val="22"/>
          <w:szCs w:val="22"/>
        </w:rPr>
        <w:t xml:space="preserve"> Informatics, </w:t>
      </w:r>
      <w:proofErr w:type="spellStart"/>
      <w:r w:rsidRPr="00C04DC4">
        <w:rPr>
          <w:rFonts w:asciiTheme="minorHAnsi" w:hAnsiTheme="minorHAnsi"/>
          <w:sz w:val="22"/>
          <w:szCs w:val="22"/>
        </w:rPr>
        <w:t>Nurs</w:t>
      </w:r>
      <w:proofErr w:type="spellEnd"/>
      <w:r w:rsidRPr="00C04DC4">
        <w:rPr>
          <w:rFonts w:asciiTheme="minorHAnsi" w:hAnsiTheme="minorHAnsi"/>
          <w:sz w:val="22"/>
          <w:szCs w:val="22"/>
        </w:rPr>
        <w:t xml:space="preserve"> [Internet]. 2011;29(3):133–7. </w:t>
      </w:r>
    </w:p>
    <w:p w14:paraId="5E246641" w14:textId="3033B22B" w:rsidR="00C70A74" w:rsidRPr="00DF6F7F" w:rsidRDefault="0009046E" w:rsidP="00DF6F7F">
      <w:pPr>
        <w:pStyle w:val="NormalWeb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 w:rsidRPr="00C04DC4">
        <w:rPr>
          <w:rFonts w:asciiTheme="minorHAnsi" w:hAnsiTheme="minorHAnsi"/>
          <w:sz w:val="22"/>
          <w:szCs w:val="22"/>
        </w:rPr>
        <w:t>Hammoud</w:t>
      </w:r>
      <w:proofErr w:type="spellEnd"/>
      <w:r w:rsidRPr="00C04DC4">
        <w:rPr>
          <w:rFonts w:asciiTheme="minorHAnsi" w:hAnsiTheme="minorHAnsi"/>
          <w:sz w:val="22"/>
          <w:szCs w:val="22"/>
        </w:rPr>
        <w:t xml:space="preserve"> MM, Margo K, </w:t>
      </w:r>
      <w:proofErr w:type="spellStart"/>
      <w:r w:rsidRPr="00C04DC4">
        <w:rPr>
          <w:rFonts w:asciiTheme="minorHAnsi" w:hAnsiTheme="minorHAnsi"/>
          <w:sz w:val="22"/>
          <w:szCs w:val="22"/>
        </w:rPr>
        <w:t>Christner</w:t>
      </w:r>
      <w:proofErr w:type="spellEnd"/>
      <w:r w:rsidRPr="00C04DC4">
        <w:rPr>
          <w:rFonts w:asciiTheme="minorHAnsi" w:hAnsiTheme="minorHAnsi"/>
          <w:sz w:val="22"/>
          <w:szCs w:val="22"/>
        </w:rPr>
        <w:t xml:space="preserve"> JG, Fisher J, Fischer SH, </w:t>
      </w:r>
      <w:proofErr w:type="spellStart"/>
      <w:r w:rsidRPr="00C04DC4">
        <w:rPr>
          <w:rFonts w:asciiTheme="minorHAnsi" w:hAnsiTheme="minorHAnsi"/>
          <w:sz w:val="22"/>
          <w:szCs w:val="22"/>
        </w:rPr>
        <w:t>Pangaro</w:t>
      </w:r>
      <w:proofErr w:type="spellEnd"/>
      <w:r w:rsidRPr="00C04DC4">
        <w:rPr>
          <w:rFonts w:asciiTheme="minorHAnsi" w:hAnsiTheme="minorHAnsi"/>
          <w:sz w:val="22"/>
          <w:szCs w:val="22"/>
        </w:rPr>
        <w:t xml:space="preserve"> LN. Opportunities and Challenges in Integrating Electronic Health Records </w:t>
      </w:r>
      <w:proofErr w:type="gramStart"/>
      <w:r w:rsidRPr="00C04DC4">
        <w:rPr>
          <w:rFonts w:asciiTheme="minorHAnsi" w:hAnsiTheme="minorHAnsi"/>
          <w:sz w:val="22"/>
          <w:szCs w:val="22"/>
        </w:rPr>
        <w:t>Into</w:t>
      </w:r>
      <w:proofErr w:type="gramEnd"/>
      <w:r w:rsidRPr="00C04DC4">
        <w:rPr>
          <w:rFonts w:asciiTheme="minorHAnsi" w:hAnsiTheme="minorHAnsi"/>
          <w:sz w:val="22"/>
          <w:szCs w:val="22"/>
        </w:rPr>
        <w:t xml:space="preserve"> Undergraduate Medical Education: A National Survey of Clerkship Directors. Teaching and Learning in Medicine 2012;24(3):219-224</w:t>
      </w:r>
    </w:p>
    <w:p w14:paraId="55A39F11" w14:textId="3FD7D2B1" w:rsidR="00A14755" w:rsidRPr="00617C56" w:rsidRDefault="00EA2E13" w:rsidP="00617C56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Times New Roman"/>
        </w:rPr>
      </w:pPr>
      <w:r w:rsidRPr="00C04DC4">
        <w:rPr>
          <w:rFonts w:asciiTheme="minorHAnsi" w:hAnsiTheme="minorHAnsi" w:cs="Times New Roman"/>
        </w:rPr>
        <w:t>EHR Educational Needs Survey. Qualtrics. (Personal Communication author REH).</w:t>
      </w:r>
      <w:r w:rsidR="00511EE8" w:rsidRPr="00C04DC4">
        <w:rPr>
          <w:rFonts w:asciiTheme="minorHAnsi" w:hAnsiTheme="minorHAnsi" w:cs="Times New Roman"/>
        </w:rPr>
        <w:t xml:space="preserve"> January </w:t>
      </w:r>
      <w:proofErr w:type="gramStart"/>
      <w:r w:rsidR="00511EE8" w:rsidRPr="00C04DC4">
        <w:rPr>
          <w:rFonts w:asciiTheme="minorHAnsi" w:hAnsiTheme="minorHAnsi" w:cs="Times New Roman"/>
        </w:rPr>
        <w:t>16</w:t>
      </w:r>
      <w:proofErr w:type="gramEnd"/>
      <w:r w:rsidR="00511EE8" w:rsidRPr="00C04DC4">
        <w:rPr>
          <w:rFonts w:asciiTheme="minorHAnsi" w:hAnsiTheme="minorHAnsi" w:cs="Times New Roman"/>
        </w:rPr>
        <w:t xml:space="preserve"> 2017. </w:t>
      </w:r>
      <w:r w:rsidR="0056601B" w:rsidRPr="00C04DC4">
        <w:rPr>
          <w:rFonts w:asciiTheme="minorHAnsi" w:hAnsiTheme="minorHAnsi" w:cs="Times New Roman"/>
        </w:rPr>
        <w:t>Results o</w:t>
      </w:r>
      <w:r w:rsidR="000D6325">
        <w:rPr>
          <w:rFonts w:asciiTheme="minorHAnsi" w:hAnsiTheme="minorHAnsi" w:cs="Times New Roman"/>
        </w:rPr>
        <w:t>n</w:t>
      </w:r>
      <w:r w:rsidR="0056601B" w:rsidRPr="00C04DC4">
        <w:rPr>
          <w:rFonts w:asciiTheme="minorHAnsi" w:hAnsiTheme="minorHAnsi" w:cs="Times New Roman"/>
        </w:rPr>
        <w:t xml:space="preserve"> Google Drive </w:t>
      </w:r>
      <w:hyperlink r:id="rId6" w:history="1">
        <w:r w:rsidR="00511EE8" w:rsidRPr="00C04DC4">
          <w:rPr>
            <w:rStyle w:val="Hyperlink"/>
            <w:rFonts w:asciiTheme="minorHAnsi" w:hAnsiTheme="minorHAnsi" w:cs="Times New Roman"/>
          </w:rPr>
          <w:t>https://drive.google.com/open?id=18iTA56PfZF4XmPx7PzxANJJmeLqTAAk8GWHkknZuu3I</w:t>
        </w:r>
      </w:hyperlink>
    </w:p>
    <w:p w14:paraId="473E9EFB" w14:textId="4D6563F2" w:rsidR="0056601B" w:rsidRPr="00C04DC4" w:rsidRDefault="00691E70" w:rsidP="00FE517D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Times New Roman"/>
        </w:rPr>
      </w:pPr>
      <w:r w:rsidRPr="00C04DC4">
        <w:rPr>
          <w:rFonts w:asciiTheme="minorHAnsi" w:hAnsiTheme="minorHAnsi" w:cs="Times New Roman"/>
        </w:rPr>
        <w:t xml:space="preserve">AHIMA Virtual Lab. </w:t>
      </w:r>
      <w:hyperlink r:id="rId7" w:history="1">
        <w:r w:rsidRPr="00C04DC4">
          <w:rPr>
            <w:rStyle w:val="Hyperlink"/>
            <w:rFonts w:asciiTheme="minorHAnsi" w:hAnsiTheme="minorHAnsi" w:cs="Times New Roman"/>
          </w:rPr>
          <w:t>http://www.ahima.org/education/virtual-lab?tabid=overview</w:t>
        </w:r>
      </w:hyperlink>
      <w:r w:rsidRPr="00C04DC4">
        <w:rPr>
          <w:rFonts w:asciiTheme="minorHAnsi" w:hAnsiTheme="minorHAnsi" w:cs="Times New Roman"/>
        </w:rPr>
        <w:t xml:space="preserve"> (Accessed June 27, 2017)</w:t>
      </w:r>
    </w:p>
    <w:p w14:paraId="420563A6" w14:textId="1E332AF5" w:rsidR="0056601B" w:rsidRDefault="00691E70" w:rsidP="00FE517D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Times New Roman"/>
        </w:rPr>
      </w:pPr>
      <w:proofErr w:type="spellStart"/>
      <w:r w:rsidRPr="00C04DC4">
        <w:rPr>
          <w:rFonts w:asciiTheme="minorHAnsi" w:hAnsiTheme="minorHAnsi" w:cs="Times New Roman"/>
        </w:rPr>
        <w:t>Neehr</w:t>
      </w:r>
      <w:proofErr w:type="spellEnd"/>
      <w:r w:rsidRPr="00C04DC4">
        <w:rPr>
          <w:rFonts w:asciiTheme="minorHAnsi" w:hAnsiTheme="minorHAnsi" w:cs="Times New Roman"/>
        </w:rPr>
        <w:t xml:space="preserve"> Perfect. </w:t>
      </w:r>
      <w:hyperlink r:id="rId8" w:history="1">
        <w:r w:rsidRPr="00C04DC4">
          <w:rPr>
            <w:rStyle w:val="Hyperlink"/>
            <w:rFonts w:asciiTheme="minorHAnsi" w:hAnsiTheme="minorHAnsi" w:cs="Times New Roman"/>
          </w:rPr>
          <w:t>https://neehrperfect.com/</w:t>
        </w:r>
      </w:hyperlink>
      <w:r w:rsidRPr="00C04DC4">
        <w:rPr>
          <w:rFonts w:asciiTheme="minorHAnsi" w:hAnsiTheme="minorHAnsi" w:cs="Times New Roman"/>
        </w:rPr>
        <w:t xml:space="preserve"> (Accessed June 27, 2017)</w:t>
      </w:r>
    </w:p>
    <w:p w14:paraId="7C7B8E6E" w14:textId="07E6456F" w:rsidR="00617C56" w:rsidRDefault="00617C56" w:rsidP="00FE517D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LibreHealth. </w:t>
      </w:r>
      <w:hyperlink r:id="rId9" w:history="1">
        <w:r w:rsidRPr="002E193F">
          <w:rPr>
            <w:rStyle w:val="Hyperlink"/>
            <w:rFonts w:asciiTheme="minorHAnsi" w:hAnsiTheme="minorHAnsi" w:cs="Times New Roman"/>
          </w:rPr>
          <w:t>https://librehealth.io</w:t>
        </w:r>
      </w:hyperlink>
      <w:r>
        <w:rPr>
          <w:rFonts w:asciiTheme="minorHAnsi" w:hAnsiTheme="minorHAnsi" w:cs="Times New Roman"/>
        </w:rPr>
        <w:t xml:space="preserve"> (Accessed June 25, 2017)</w:t>
      </w:r>
    </w:p>
    <w:p w14:paraId="031C3841" w14:textId="31AED87C" w:rsidR="00806B1D" w:rsidRPr="00C04DC4" w:rsidRDefault="00806B1D" w:rsidP="00FE517D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National Health and Nutrition Evaluation Survey (NHANES). </w:t>
      </w:r>
      <w:hyperlink r:id="rId10" w:history="1">
        <w:r w:rsidR="0080543D" w:rsidRPr="002E193F">
          <w:rPr>
            <w:rStyle w:val="Hyperlink"/>
            <w:rFonts w:asciiTheme="minorHAnsi" w:hAnsiTheme="minorHAnsi" w:cs="Times New Roman"/>
          </w:rPr>
          <w:t>https://www.cdc.gov/nchs/nhanes/index.htm</w:t>
        </w:r>
      </w:hyperlink>
      <w:r w:rsidR="0080543D">
        <w:rPr>
          <w:rFonts w:asciiTheme="minorHAnsi" w:hAnsiTheme="minorHAnsi" w:cs="Times New Roman"/>
        </w:rPr>
        <w:t xml:space="preserve"> (Accessed June 20, 2017)</w:t>
      </w:r>
    </w:p>
    <w:p w14:paraId="320EB5DE" w14:textId="2C092424" w:rsidR="00295DE6" w:rsidRPr="00C04DC4" w:rsidRDefault="00295DE6" w:rsidP="00FE517D">
      <w:pPr>
        <w:pStyle w:val="ListParagraph"/>
        <w:numPr>
          <w:ilvl w:val="0"/>
          <w:numId w:val="0"/>
        </w:numPr>
        <w:ind w:left="720"/>
        <w:jc w:val="both"/>
        <w:rPr>
          <w:rFonts w:asciiTheme="minorHAnsi" w:hAnsiTheme="minorHAnsi" w:cs="Times New Roman"/>
        </w:rPr>
      </w:pPr>
      <w:bookmarkStart w:id="0" w:name="_GoBack"/>
      <w:bookmarkEnd w:id="0"/>
    </w:p>
    <w:sectPr w:rsidR="00295DE6" w:rsidRPr="00C04DC4" w:rsidSect="00737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D5EA1"/>
    <w:multiLevelType w:val="hybridMultilevel"/>
    <w:tmpl w:val="A942EBAE"/>
    <w:lvl w:ilvl="0" w:tplc="875C5CC0">
      <w:start w:val="1"/>
      <w:numFmt w:val="bullet"/>
      <w:pStyle w:val="ListParagraph"/>
      <w:lvlText w:val=""/>
      <w:lvlJc w:val="left"/>
      <w:pPr>
        <w:ind w:left="720" w:hanging="288"/>
      </w:pPr>
      <w:rPr>
        <w:rFonts w:ascii="Symbol" w:hAnsi="Symbol" w:hint="default"/>
        <w:w w:val="99"/>
        <w:vertAlign w:val="super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6035B"/>
    <w:multiLevelType w:val="hybridMultilevel"/>
    <w:tmpl w:val="E69A4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B3"/>
    <w:rsid w:val="00035D5B"/>
    <w:rsid w:val="00040546"/>
    <w:rsid w:val="0009046E"/>
    <w:rsid w:val="000C07BD"/>
    <w:rsid w:val="000D5A2B"/>
    <w:rsid w:val="000D6325"/>
    <w:rsid w:val="000F76AD"/>
    <w:rsid w:val="00104F93"/>
    <w:rsid w:val="001343B6"/>
    <w:rsid w:val="0019433C"/>
    <w:rsid w:val="001A3D16"/>
    <w:rsid w:val="001C0334"/>
    <w:rsid w:val="0020670E"/>
    <w:rsid w:val="00234437"/>
    <w:rsid w:val="00241B64"/>
    <w:rsid w:val="00271803"/>
    <w:rsid w:val="0027225F"/>
    <w:rsid w:val="0029562D"/>
    <w:rsid w:val="00295DE6"/>
    <w:rsid w:val="002D63CB"/>
    <w:rsid w:val="00301A13"/>
    <w:rsid w:val="00313FA0"/>
    <w:rsid w:val="0032071C"/>
    <w:rsid w:val="00335AF3"/>
    <w:rsid w:val="00354A02"/>
    <w:rsid w:val="00391AE6"/>
    <w:rsid w:val="003E710D"/>
    <w:rsid w:val="004224AC"/>
    <w:rsid w:val="00434768"/>
    <w:rsid w:val="004349B3"/>
    <w:rsid w:val="004528DD"/>
    <w:rsid w:val="00465FCA"/>
    <w:rsid w:val="00472200"/>
    <w:rsid w:val="004A77EE"/>
    <w:rsid w:val="00511EE8"/>
    <w:rsid w:val="0056601B"/>
    <w:rsid w:val="005938DE"/>
    <w:rsid w:val="005A7910"/>
    <w:rsid w:val="005C6CAE"/>
    <w:rsid w:val="00607487"/>
    <w:rsid w:val="00613394"/>
    <w:rsid w:val="00617C56"/>
    <w:rsid w:val="00641702"/>
    <w:rsid w:val="0064630A"/>
    <w:rsid w:val="00691E70"/>
    <w:rsid w:val="006967BB"/>
    <w:rsid w:val="006A13A7"/>
    <w:rsid w:val="006D20A9"/>
    <w:rsid w:val="006D3335"/>
    <w:rsid w:val="00723031"/>
    <w:rsid w:val="00737A85"/>
    <w:rsid w:val="00763443"/>
    <w:rsid w:val="007D08B7"/>
    <w:rsid w:val="0080543D"/>
    <w:rsid w:val="00806B1D"/>
    <w:rsid w:val="008817DE"/>
    <w:rsid w:val="00896C5F"/>
    <w:rsid w:val="008A3FD9"/>
    <w:rsid w:val="008F301D"/>
    <w:rsid w:val="00906EF2"/>
    <w:rsid w:val="00911AD7"/>
    <w:rsid w:val="0092252A"/>
    <w:rsid w:val="00943065"/>
    <w:rsid w:val="0096228F"/>
    <w:rsid w:val="009701A2"/>
    <w:rsid w:val="00995AE4"/>
    <w:rsid w:val="009A0B2A"/>
    <w:rsid w:val="009B3C0D"/>
    <w:rsid w:val="009C0B6B"/>
    <w:rsid w:val="009D7CA1"/>
    <w:rsid w:val="00A14755"/>
    <w:rsid w:val="00A219AA"/>
    <w:rsid w:val="00A27A6B"/>
    <w:rsid w:val="00A91EB2"/>
    <w:rsid w:val="00A92595"/>
    <w:rsid w:val="00AA163C"/>
    <w:rsid w:val="00B46E51"/>
    <w:rsid w:val="00B537B0"/>
    <w:rsid w:val="00B70342"/>
    <w:rsid w:val="00BF759E"/>
    <w:rsid w:val="00C04DC4"/>
    <w:rsid w:val="00C17FA1"/>
    <w:rsid w:val="00C70A74"/>
    <w:rsid w:val="00C83523"/>
    <w:rsid w:val="00C85085"/>
    <w:rsid w:val="00C96ED1"/>
    <w:rsid w:val="00C97D65"/>
    <w:rsid w:val="00D0192E"/>
    <w:rsid w:val="00D0482F"/>
    <w:rsid w:val="00D372FC"/>
    <w:rsid w:val="00D43B66"/>
    <w:rsid w:val="00D71314"/>
    <w:rsid w:val="00D71D53"/>
    <w:rsid w:val="00DB7233"/>
    <w:rsid w:val="00DC605C"/>
    <w:rsid w:val="00DF6F7F"/>
    <w:rsid w:val="00E04A0C"/>
    <w:rsid w:val="00E16874"/>
    <w:rsid w:val="00E23E45"/>
    <w:rsid w:val="00E320E2"/>
    <w:rsid w:val="00E51AB7"/>
    <w:rsid w:val="00E57FC7"/>
    <w:rsid w:val="00E751B3"/>
    <w:rsid w:val="00E95B0B"/>
    <w:rsid w:val="00EA2E13"/>
    <w:rsid w:val="00EB24E1"/>
    <w:rsid w:val="00ED3800"/>
    <w:rsid w:val="00ED551F"/>
    <w:rsid w:val="00F209A5"/>
    <w:rsid w:val="00F352FB"/>
    <w:rsid w:val="00F478CF"/>
    <w:rsid w:val="00F556D1"/>
    <w:rsid w:val="00F72A0A"/>
    <w:rsid w:val="00FA27DE"/>
    <w:rsid w:val="00FB59FA"/>
    <w:rsid w:val="00FE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36A3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Georg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F209A5"/>
    <w:pPr>
      <w:widowControl w:val="0"/>
      <w:autoSpaceDE w:val="0"/>
      <w:autoSpaceDN w:val="0"/>
      <w:spacing w:after="120"/>
    </w:pPr>
    <w:rPr>
      <w:rFonts w:ascii="Arial" w:hAnsi="Arial" w:cs="Georgia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F209A5"/>
    <w:pPr>
      <w:spacing w:before="78"/>
      <w:outlineLvl w:val="0"/>
    </w:pPr>
    <w:rPr>
      <w:rFonts w:eastAsia="Verdana" w:cs="Verdana"/>
      <w:b/>
      <w:w w:val="115"/>
      <w:sz w:val="40"/>
      <w:szCs w:val="40"/>
    </w:rPr>
  </w:style>
  <w:style w:type="paragraph" w:styleId="Heading2">
    <w:name w:val="heading 2"/>
    <w:basedOn w:val="Normal"/>
    <w:link w:val="Heading2Char"/>
    <w:uiPriority w:val="1"/>
    <w:qFormat/>
    <w:rsid w:val="00F209A5"/>
    <w:pPr>
      <w:outlineLvl w:val="1"/>
    </w:pPr>
    <w:rPr>
      <w:rFonts w:eastAsia="Verdana" w:cs="Verdana"/>
      <w:b/>
      <w:w w:val="115"/>
      <w:sz w:val="28"/>
      <w:szCs w:val="28"/>
    </w:rPr>
  </w:style>
  <w:style w:type="paragraph" w:styleId="Heading3">
    <w:name w:val="heading 3"/>
    <w:basedOn w:val="Normal"/>
    <w:link w:val="Heading3Char"/>
    <w:autoRedefine/>
    <w:uiPriority w:val="1"/>
    <w:qFormat/>
    <w:rsid w:val="00F209A5"/>
    <w:pPr>
      <w:outlineLvl w:val="2"/>
    </w:pPr>
    <w:rPr>
      <w:rFonts w:eastAsia="Verdana" w:cs="Verdana"/>
      <w:b/>
      <w:w w:val="1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209A5"/>
    <w:pPr>
      <w:numPr>
        <w:numId w:val="1"/>
      </w:numPr>
      <w:tabs>
        <w:tab w:val="left" w:pos="428"/>
        <w:tab w:val="left" w:pos="504"/>
      </w:tabs>
    </w:pPr>
  </w:style>
  <w:style w:type="character" w:customStyle="1" w:styleId="Heading1Char">
    <w:name w:val="Heading 1 Char"/>
    <w:basedOn w:val="DefaultParagraphFont"/>
    <w:link w:val="Heading1"/>
    <w:uiPriority w:val="1"/>
    <w:rsid w:val="00F209A5"/>
    <w:rPr>
      <w:rFonts w:ascii="Arial" w:eastAsia="Verdana" w:hAnsi="Arial" w:cs="Verdana"/>
      <w:b/>
      <w:w w:val="11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F209A5"/>
    <w:rPr>
      <w:rFonts w:ascii="Arial" w:eastAsia="Verdana" w:hAnsi="Arial" w:cs="Verdana"/>
      <w:b/>
      <w:w w:val="11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F209A5"/>
    <w:rPr>
      <w:rFonts w:ascii="Arial" w:eastAsia="Verdana" w:hAnsi="Arial" w:cs="Verdana"/>
      <w:b/>
      <w:w w:val="115"/>
    </w:rPr>
  </w:style>
  <w:style w:type="table" w:customStyle="1" w:styleId="Tables">
    <w:name w:val="Tables"/>
    <w:basedOn w:val="TableGridLight"/>
    <w:uiPriority w:val="99"/>
    <w:rsid w:val="00C17FA1"/>
    <w:rPr>
      <w:rFonts w:eastAsiaTheme="minorHAnsi"/>
      <w:sz w:val="22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Light">
    <w:name w:val="Grid Table Light"/>
    <w:basedOn w:val="TableNormal"/>
    <w:uiPriority w:val="40"/>
    <w:rsid w:val="00C17FA1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95DE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046E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01A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ashboard.healthit.gov" TargetMode="External"/><Relationship Id="rId6" Type="http://schemas.openxmlformats.org/officeDocument/2006/relationships/hyperlink" Target="https://drive.google.com/open?id=18iTA56PfZF4XmPx7PzxANJJmeLqTAAk8GWHkknZuu3I" TargetMode="External"/><Relationship Id="rId7" Type="http://schemas.openxmlformats.org/officeDocument/2006/relationships/hyperlink" Target="http://www.ahima.org/education/virtual-lab?tabid=overview" TargetMode="External"/><Relationship Id="rId8" Type="http://schemas.openxmlformats.org/officeDocument/2006/relationships/hyperlink" Target="https://neehrperfect.com/" TargetMode="External"/><Relationship Id="rId9" Type="http://schemas.openxmlformats.org/officeDocument/2006/relationships/hyperlink" Target="https://librehealth.io" TargetMode="External"/><Relationship Id="rId10" Type="http://schemas.openxmlformats.org/officeDocument/2006/relationships/hyperlink" Target="https://www.cdc.gov/nchs/nhanes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857</Words>
  <Characters>4890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Hoyt</dc:creator>
  <cp:keywords/>
  <dc:description/>
  <cp:lastModifiedBy>Robert Hoyt</cp:lastModifiedBy>
  <cp:revision>13</cp:revision>
  <dcterms:created xsi:type="dcterms:W3CDTF">2017-11-17T15:40:00Z</dcterms:created>
  <dcterms:modified xsi:type="dcterms:W3CDTF">2017-11-17T18:32:00Z</dcterms:modified>
</cp:coreProperties>
</file>